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8D5" w:rsidRPr="0056630A" w:rsidRDefault="00F158D5" w:rsidP="00F158D5">
      <w:pPr>
        <w:spacing w:line="360" w:lineRule="auto"/>
        <w:rPr>
          <w:rFonts w:ascii="Arial" w:hAnsi="Arial" w:cs="Arial"/>
          <w:bCs/>
        </w:rPr>
      </w:pPr>
      <w:r w:rsidRPr="0024724C">
        <w:rPr>
          <w:rFonts w:ascii="Arial" w:hAnsi="Arial" w:cs="Arial"/>
        </w:rPr>
        <w:t xml:space="preserve">Evidence Log </w:t>
      </w:r>
      <w:r>
        <w:rPr>
          <w:rFonts w:ascii="Arial" w:hAnsi="Arial" w:cs="Arial"/>
        </w:rPr>
        <w:t>7</w:t>
      </w:r>
      <w:r w:rsidRPr="0024724C">
        <w:rPr>
          <w:rFonts w:ascii="Arial" w:hAnsi="Arial" w:cs="Arial"/>
          <w:b/>
          <w:bCs/>
        </w:rPr>
        <w:t xml:space="preserve"> </w:t>
      </w:r>
      <w:proofErr w:type="gramStart"/>
      <w:r w:rsidRPr="0056630A">
        <w:rPr>
          <w:rFonts w:ascii="Arial" w:hAnsi="Arial" w:cs="Arial"/>
          <w:bCs/>
        </w:rPr>
        <w:t>The</w:t>
      </w:r>
      <w:proofErr w:type="gramEnd"/>
      <w:r w:rsidRPr="0056630A">
        <w:rPr>
          <w:rFonts w:ascii="Arial" w:hAnsi="Arial" w:cs="Arial"/>
          <w:bCs/>
        </w:rPr>
        <w:t xml:space="preserve"> </w:t>
      </w:r>
      <w:proofErr w:type="spellStart"/>
      <w:r w:rsidRPr="0056630A">
        <w:rPr>
          <w:rFonts w:ascii="Arial" w:hAnsi="Arial" w:cs="Arial"/>
          <w:bCs/>
        </w:rPr>
        <w:t>Travelife</w:t>
      </w:r>
      <w:proofErr w:type="spellEnd"/>
      <w:r w:rsidRPr="0056630A">
        <w:rPr>
          <w:rFonts w:ascii="Arial" w:hAnsi="Arial" w:cs="Arial"/>
          <w:bCs/>
        </w:rPr>
        <w:t xml:space="preserve"> Sustainability Handbook</w:t>
      </w:r>
    </w:p>
    <w:p w:rsidR="00F158D5" w:rsidRDefault="00F158D5" w:rsidP="00F158D5">
      <w:pPr>
        <w:spacing w:line="360" w:lineRule="auto"/>
        <w:rPr>
          <w:rFonts w:ascii="Arial" w:hAnsi="Arial" w:cs="Arial"/>
          <w:u w:val="single"/>
        </w:rPr>
      </w:pPr>
    </w:p>
    <w:p w:rsidR="00F158D5" w:rsidRDefault="00F158D5" w:rsidP="00F158D5">
      <w:pPr>
        <w:spacing w:line="360" w:lineRule="auto"/>
        <w:rPr>
          <w:rFonts w:ascii="Arial" w:hAnsi="Arial" w:cs="Arial"/>
        </w:rPr>
      </w:pPr>
      <w:r w:rsidRPr="003A09EA"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Travelife</w:t>
      </w:r>
      <w:proofErr w:type="spellEnd"/>
      <w:r>
        <w:rPr>
          <w:rFonts w:ascii="Arial" w:hAnsi="Arial" w:cs="Arial"/>
        </w:rPr>
        <w:t xml:space="preserve"> Sustainability Handbook provides accommodation providers with very detailed information about how they can develop and implement sustainable practices.</w:t>
      </w:r>
    </w:p>
    <w:p w:rsidR="00F158D5" w:rsidRPr="003A09EA" w:rsidRDefault="00F158D5" w:rsidP="00F158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handbook can be downloaded from the link below.</w:t>
      </w:r>
    </w:p>
    <w:p w:rsidR="00F158D5" w:rsidRDefault="00F158D5" w:rsidP="00F158D5">
      <w:pPr>
        <w:spacing w:line="360" w:lineRule="auto"/>
        <w:rPr>
          <w:rFonts w:ascii="Arial" w:hAnsi="Arial" w:cs="Arial"/>
          <w:b/>
          <w:bCs/>
          <w:u w:val="single"/>
        </w:rPr>
      </w:pPr>
      <w:hyperlink r:id="rId5" w:history="1">
        <w:r w:rsidRPr="003A09EA">
          <w:rPr>
            <w:rStyle w:val="Hyperlink"/>
            <w:rFonts w:ascii="Arial" w:hAnsi="Arial" w:cs="Arial"/>
            <w:b/>
            <w:bCs/>
          </w:rPr>
          <w:t>http://www.travelife.org/Tourism_Business_New/documents/Supplier_Sustainability_Handbook_English.pdf</w:t>
        </w:r>
      </w:hyperlink>
      <w:r w:rsidRPr="003A09EA">
        <w:rPr>
          <w:rFonts w:ascii="Arial" w:hAnsi="Arial" w:cs="Arial"/>
          <w:b/>
          <w:bCs/>
          <w:u w:val="single"/>
        </w:rPr>
        <w:t xml:space="preserve"> </w:t>
      </w:r>
    </w:p>
    <w:p w:rsidR="00F158D5" w:rsidRDefault="00F158D5" w:rsidP="00F158D5">
      <w:pPr>
        <w:spacing w:line="360" w:lineRule="auto"/>
        <w:rPr>
          <w:rFonts w:ascii="Arial" w:hAnsi="Arial" w:cs="Arial"/>
        </w:rPr>
      </w:pPr>
      <w:r w:rsidRPr="00DE44EB">
        <w:rPr>
          <w:rFonts w:ascii="Arial" w:hAnsi="Arial" w:cs="Arial"/>
        </w:rPr>
        <w:t xml:space="preserve">Download </w:t>
      </w:r>
      <w:r>
        <w:rPr>
          <w:rFonts w:ascii="Arial" w:hAnsi="Arial" w:cs="Arial"/>
        </w:rPr>
        <w:t xml:space="preserve">pages 46 to 51 of the </w:t>
      </w:r>
      <w:proofErr w:type="spellStart"/>
      <w:r>
        <w:rPr>
          <w:rFonts w:ascii="Arial" w:hAnsi="Arial" w:cs="Arial"/>
        </w:rPr>
        <w:t>Trav</w:t>
      </w:r>
      <w:r>
        <w:rPr>
          <w:rFonts w:ascii="Arial" w:hAnsi="Arial" w:cs="Arial"/>
        </w:rPr>
        <w:t>elife</w:t>
      </w:r>
      <w:proofErr w:type="spellEnd"/>
      <w:r>
        <w:rPr>
          <w:rFonts w:ascii="Arial" w:hAnsi="Arial" w:cs="Arial"/>
        </w:rPr>
        <w:t xml:space="preserve"> Sustainability Handbook and c</w:t>
      </w:r>
      <w:r>
        <w:rPr>
          <w:rFonts w:ascii="Arial" w:hAnsi="Arial" w:cs="Arial"/>
        </w:rPr>
        <w:t xml:space="preserve">omplete the table in </w:t>
      </w:r>
      <w:r>
        <w:rPr>
          <w:rFonts w:ascii="Arial" w:hAnsi="Arial" w:cs="Arial"/>
        </w:rPr>
        <w:t>below</w:t>
      </w:r>
      <w:r>
        <w:rPr>
          <w:rFonts w:ascii="Arial" w:hAnsi="Arial" w:cs="Arial"/>
        </w:rPr>
        <w:t xml:space="preserve"> by summarising what can be done by accommodation providers to address social and community issues.</w:t>
      </w:r>
    </w:p>
    <w:p w:rsidR="00F158D5" w:rsidRDefault="00F158D5" w:rsidP="00F158D5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10179" w:type="dxa"/>
        <w:tblInd w:w="-432" w:type="dxa"/>
        <w:tblLook w:val="01E0" w:firstRow="1" w:lastRow="1" w:firstColumn="1" w:lastColumn="1" w:noHBand="0" w:noVBand="0"/>
      </w:tblPr>
      <w:tblGrid>
        <w:gridCol w:w="2880"/>
        <w:gridCol w:w="7299"/>
      </w:tblGrid>
      <w:tr w:rsidR="00F158D5" w:rsidTr="00F158D5">
        <w:tc>
          <w:tcPr>
            <w:tcW w:w="10179" w:type="dxa"/>
            <w:gridSpan w:val="2"/>
          </w:tcPr>
          <w:p w:rsidR="00F158D5" w:rsidRDefault="00F158D5" w:rsidP="00DF2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66EC9">
              <w:rPr>
                <w:rFonts w:ascii="Arial" w:hAnsi="Arial" w:cs="Arial"/>
                <w:b/>
                <w:bCs/>
              </w:rPr>
              <w:t>Social and Community Issues</w:t>
            </w:r>
          </w:p>
          <w:p w:rsidR="00F158D5" w:rsidRPr="00766EC9" w:rsidRDefault="00F158D5" w:rsidP="00DF2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158D5" w:rsidTr="00F158D5">
        <w:tc>
          <w:tcPr>
            <w:tcW w:w="2880" w:type="dxa"/>
          </w:tcPr>
          <w:p w:rsidR="00F158D5" w:rsidRPr="00766EC9" w:rsidRDefault="00F158D5" w:rsidP="00DF220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66EC9">
              <w:rPr>
                <w:rFonts w:ascii="Arial" w:hAnsi="Arial" w:cs="Arial"/>
                <w:b/>
                <w:bCs/>
              </w:rPr>
              <w:t>Key Issue</w:t>
            </w:r>
          </w:p>
        </w:tc>
        <w:tc>
          <w:tcPr>
            <w:tcW w:w="7299" w:type="dxa"/>
          </w:tcPr>
          <w:p w:rsidR="00F158D5" w:rsidRPr="00766EC9" w:rsidRDefault="00F158D5" w:rsidP="00DF220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66EC9">
              <w:rPr>
                <w:rFonts w:ascii="Arial" w:hAnsi="Arial" w:cs="Arial"/>
                <w:b/>
                <w:bCs/>
              </w:rPr>
              <w:t>Summary of what can be done and best practice</w:t>
            </w:r>
          </w:p>
        </w:tc>
      </w:tr>
      <w:tr w:rsidR="00F158D5" w:rsidTr="00F158D5">
        <w:tc>
          <w:tcPr>
            <w:tcW w:w="2880" w:type="dxa"/>
          </w:tcPr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local suppliers</w:t>
            </w:r>
          </w:p>
        </w:tc>
        <w:tc>
          <w:tcPr>
            <w:tcW w:w="7299" w:type="dxa"/>
          </w:tcPr>
          <w:p w:rsidR="00F158D5" w:rsidRDefault="00F158D5" w:rsidP="00DF220C">
            <w:pPr>
              <w:spacing w:line="360" w:lineRule="auto"/>
              <w:rPr>
                <w:rFonts w:ascii="Arial" w:hAnsi="Arial" w:cs="Arial"/>
                <w:b/>
                <w:bCs/>
                <w:color w:val="0000FF"/>
              </w:rPr>
            </w:pPr>
          </w:p>
          <w:p w:rsidR="00F158D5" w:rsidRDefault="00F158D5" w:rsidP="00DF220C">
            <w:pPr>
              <w:spacing w:line="360" w:lineRule="auto"/>
              <w:rPr>
                <w:rFonts w:ascii="Arial" w:hAnsi="Arial" w:cs="Arial"/>
                <w:b/>
                <w:bCs/>
                <w:color w:val="0000FF"/>
              </w:rPr>
            </w:pPr>
          </w:p>
          <w:p w:rsidR="00F158D5" w:rsidRPr="00766EC9" w:rsidRDefault="00F158D5" w:rsidP="00DF220C">
            <w:pPr>
              <w:spacing w:line="360" w:lineRule="auto"/>
              <w:rPr>
                <w:rFonts w:ascii="Arial" w:hAnsi="Arial" w:cs="Arial"/>
                <w:b/>
                <w:bCs/>
                <w:color w:val="0000FF"/>
              </w:rPr>
            </w:pPr>
          </w:p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158D5" w:rsidTr="00F158D5">
        <w:tc>
          <w:tcPr>
            <w:tcW w:w="2880" w:type="dxa"/>
          </w:tcPr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Promoting local products and services</w:t>
            </w:r>
          </w:p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99" w:type="dxa"/>
          </w:tcPr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158D5" w:rsidTr="00F158D5">
        <w:tc>
          <w:tcPr>
            <w:tcW w:w="2880" w:type="dxa"/>
          </w:tcPr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Providing services within the community</w:t>
            </w:r>
          </w:p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99" w:type="dxa"/>
          </w:tcPr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158D5" w:rsidTr="00F158D5">
        <w:tc>
          <w:tcPr>
            <w:tcW w:w="2880" w:type="dxa"/>
          </w:tcPr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Protecting children from exploitation</w:t>
            </w:r>
          </w:p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99" w:type="dxa"/>
          </w:tcPr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158D5" w:rsidTr="00F158D5">
        <w:tc>
          <w:tcPr>
            <w:tcW w:w="2880" w:type="dxa"/>
          </w:tcPr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Areas where traditional and tribal people live</w:t>
            </w:r>
          </w:p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99" w:type="dxa"/>
          </w:tcPr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158D5" w:rsidTr="00F158D5">
        <w:tc>
          <w:tcPr>
            <w:tcW w:w="2880" w:type="dxa"/>
          </w:tcPr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Consulting local people</w:t>
            </w:r>
          </w:p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99" w:type="dxa"/>
          </w:tcPr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158D5" w:rsidTr="00F158D5">
        <w:tc>
          <w:tcPr>
            <w:tcW w:w="2880" w:type="dxa"/>
          </w:tcPr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Providing customers with guidance.</w:t>
            </w:r>
          </w:p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99" w:type="dxa"/>
          </w:tcPr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158D5" w:rsidTr="00F158D5">
        <w:tc>
          <w:tcPr>
            <w:tcW w:w="2880" w:type="dxa"/>
          </w:tcPr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Encouraging customers to explore the destination.</w:t>
            </w:r>
          </w:p>
        </w:tc>
        <w:tc>
          <w:tcPr>
            <w:tcW w:w="7299" w:type="dxa"/>
          </w:tcPr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F158D5" w:rsidRDefault="00F158D5" w:rsidP="00DF220C">
            <w:pPr>
              <w:spacing w:line="36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F158D5" w:rsidRDefault="00F158D5" w:rsidP="00F158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E41BC" w:rsidRDefault="008E41BC"/>
    <w:sectPr w:rsidR="008E41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D5"/>
    <w:rsid w:val="00015AE3"/>
    <w:rsid w:val="000341CC"/>
    <w:rsid w:val="00035B59"/>
    <w:rsid w:val="0005038A"/>
    <w:rsid w:val="00085658"/>
    <w:rsid w:val="00090699"/>
    <w:rsid w:val="00096D6A"/>
    <w:rsid w:val="000A5A98"/>
    <w:rsid w:val="000C253C"/>
    <w:rsid w:val="000C2B9C"/>
    <w:rsid w:val="000E1F4A"/>
    <w:rsid w:val="000E6577"/>
    <w:rsid w:val="000F0703"/>
    <w:rsid w:val="00105E9F"/>
    <w:rsid w:val="0011668B"/>
    <w:rsid w:val="00120531"/>
    <w:rsid w:val="00122465"/>
    <w:rsid w:val="00123C9E"/>
    <w:rsid w:val="001756FB"/>
    <w:rsid w:val="001835C2"/>
    <w:rsid w:val="001842A6"/>
    <w:rsid w:val="001A46AA"/>
    <w:rsid w:val="001C7AA0"/>
    <w:rsid w:val="001D11BC"/>
    <w:rsid w:val="001E3F79"/>
    <w:rsid w:val="0020113F"/>
    <w:rsid w:val="00217561"/>
    <w:rsid w:val="002348BB"/>
    <w:rsid w:val="002810A5"/>
    <w:rsid w:val="00282CA8"/>
    <w:rsid w:val="002956BB"/>
    <w:rsid w:val="002A3914"/>
    <w:rsid w:val="002A50C6"/>
    <w:rsid w:val="002C3615"/>
    <w:rsid w:val="002C65AB"/>
    <w:rsid w:val="002E6C3D"/>
    <w:rsid w:val="00300060"/>
    <w:rsid w:val="00316C39"/>
    <w:rsid w:val="00323961"/>
    <w:rsid w:val="00353C1B"/>
    <w:rsid w:val="00386FAF"/>
    <w:rsid w:val="003E4658"/>
    <w:rsid w:val="003E6A9C"/>
    <w:rsid w:val="003F092C"/>
    <w:rsid w:val="00472874"/>
    <w:rsid w:val="00484ADC"/>
    <w:rsid w:val="004A4FED"/>
    <w:rsid w:val="004D0F7C"/>
    <w:rsid w:val="004E4E36"/>
    <w:rsid w:val="004F515A"/>
    <w:rsid w:val="00587EB8"/>
    <w:rsid w:val="005B29DA"/>
    <w:rsid w:val="005F5E5F"/>
    <w:rsid w:val="00600589"/>
    <w:rsid w:val="00643294"/>
    <w:rsid w:val="0064407F"/>
    <w:rsid w:val="006564E1"/>
    <w:rsid w:val="00664325"/>
    <w:rsid w:val="006731CF"/>
    <w:rsid w:val="00692B36"/>
    <w:rsid w:val="006C70B7"/>
    <w:rsid w:val="006D2989"/>
    <w:rsid w:val="006F0607"/>
    <w:rsid w:val="00717AAF"/>
    <w:rsid w:val="007408F1"/>
    <w:rsid w:val="00741E25"/>
    <w:rsid w:val="0077211F"/>
    <w:rsid w:val="007D431E"/>
    <w:rsid w:val="007D68A7"/>
    <w:rsid w:val="007E4C83"/>
    <w:rsid w:val="00826560"/>
    <w:rsid w:val="00827B03"/>
    <w:rsid w:val="008B78E6"/>
    <w:rsid w:val="008E0F30"/>
    <w:rsid w:val="008E20D1"/>
    <w:rsid w:val="008E41BC"/>
    <w:rsid w:val="0090405D"/>
    <w:rsid w:val="0097119B"/>
    <w:rsid w:val="0097343B"/>
    <w:rsid w:val="00985303"/>
    <w:rsid w:val="00996B2E"/>
    <w:rsid w:val="009A7C2E"/>
    <w:rsid w:val="009F7351"/>
    <w:rsid w:val="00A3516E"/>
    <w:rsid w:val="00A409EE"/>
    <w:rsid w:val="00A6047B"/>
    <w:rsid w:val="00A65359"/>
    <w:rsid w:val="00A73FF2"/>
    <w:rsid w:val="00AA6D18"/>
    <w:rsid w:val="00AB6AF5"/>
    <w:rsid w:val="00AD641B"/>
    <w:rsid w:val="00AF3595"/>
    <w:rsid w:val="00AF6400"/>
    <w:rsid w:val="00B11BB6"/>
    <w:rsid w:val="00B3728A"/>
    <w:rsid w:val="00B60553"/>
    <w:rsid w:val="00B65E06"/>
    <w:rsid w:val="00B91D7D"/>
    <w:rsid w:val="00B96AC3"/>
    <w:rsid w:val="00B97EE9"/>
    <w:rsid w:val="00BA5AEF"/>
    <w:rsid w:val="00BC097F"/>
    <w:rsid w:val="00BC7CBA"/>
    <w:rsid w:val="00C37CE6"/>
    <w:rsid w:val="00C564AF"/>
    <w:rsid w:val="00C70FB4"/>
    <w:rsid w:val="00C749C7"/>
    <w:rsid w:val="00C7788B"/>
    <w:rsid w:val="00C83649"/>
    <w:rsid w:val="00C9623F"/>
    <w:rsid w:val="00CE2064"/>
    <w:rsid w:val="00D6540F"/>
    <w:rsid w:val="00D7766C"/>
    <w:rsid w:val="00D84349"/>
    <w:rsid w:val="00D902AF"/>
    <w:rsid w:val="00DC6C29"/>
    <w:rsid w:val="00DC776A"/>
    <w:rsid w:val="00DD7890"/>
    <w:rsid w:val="00DE7E10"/>
    <w:rsid w:val="00DF7854"/>
    <w:rsid w:val="00E061BA"/>
    <w:rsid w:val="00E068D3"/>
    <w:rsid w:val="00E33D9A"/>
    <w:rsid w:val="00E43FF8"/>
    <w:rsid w:val="00E653DE"/>
    <w:rsid w:val="00E72A77"/>
    <w:rsid w:val="00E87A23"/>
    <w:rsid w:val="00EA14EE"/>
    <w:rsid w:val="00F158D5"/>
    <w:rsid w:val="00F1768A"/>
    <w:rsid w:val="00F23E22"/>
    <w:rsid w:val="00F52F46"/>
    <w:rsid w:val="00F95EBA"/>
    <w:rsid w:val="00FA1FAA"/>
    <w:rsid w:val="00FB5064"/>
    <w:rsid w:val="00FC446C"/>
    <w:rsid w:val="00FD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8D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58D5"/>
    <w:rPr>
      <w:color w:val="0000FF"/>
      <w:u w:val="single"/>
    </w:rPr>
  </w:style>
  <w:style w:type="table" w:styleId="TableGrid">
    <w:name w:val="Table Grid"/>
    <w:basedOn w:val="TableNormal"/>
    <w:rsid w:val="00F158D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8D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58D5"/>
    <w:rPr>
      <w:color w:val="0000FF"/>
      <w:u w:val="single"/>
    </w:rPr>
  </w:style>
  <w:style w:type="table" w:styleId="TableGrid">
    <w:name w:val="Table Grid"/>
    <w:basedOn w:val="TableNormal"/>
    <w:rsid w:val="00F158D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avelife.org/Tourism_Business_New/documents/Supplier_Sustainability_Handbook_English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Blount</dc:creator>
  <cp:lastModifiedBy>Mel Blount</cp:lastModifiedBy>
  <cp:revision>1</cp:revision>
  <dcterms:created xsi:type="dcterms:W3CDTF">2013-01-28T15:30:00Z</dcterms:created>
  <dcterms:modified xsi:type="dcterms:W3CDTF">2013-01-28T15:33:00Z</dcterms:modified>
</cp:coreProperties>
</file>