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720" w:right="9072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Merit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goods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studied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(private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Therefore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welfare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scenario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explore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obviously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48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show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following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video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38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A&amp;E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.bbc.co.uk/news/health-22758373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15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.youtube.com/watch?v=3w</w:t>
        </w:r>
        <w:r>
          <w:rPr>
            <w:rFonts w:ascii="Arial" w:hAnsi="Arial" w:cs="Arial" w:eastAsia="Arial"/>
            <w:sz w:val="24"/>
            <w:szCs w:val="24"/>
            <w:color w:val="1F4F82"/>
            <w:spacing w:val="-4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rBaQjkvo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(1.5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advert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advance):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9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</w:t>
        </w:r>
      </w:hyperlink>
      <w:hyperlink r:id="rId10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huffingtonpost.com/2014/04/17/health-care-costs_n_5160819.html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19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1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.youtube.com/watch?v=Ro56CoQ7GoY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662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Possible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points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color w:val="1F4F82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might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raised: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encourage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overuse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(A&amp;E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A&amp;E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appendix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inequality/paying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Howeve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national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debt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taxes,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inequalities.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NHS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organisation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negotiating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pharmaceutical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companies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inefficiency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profit-making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organisation.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2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.bbc.co.uk/news/uk-scotland-25151839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Profit-making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incentive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customers,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principal-agent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patient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incentive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expensive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litigation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8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surgeons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9956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</w:rPr>
        <w:t>Appendix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basically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fixed.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worsening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crisis,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shift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population,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smaller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increased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beds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elsewhere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analyse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congestion.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8" w:lineRule="exact"/>
        <w:ind w:left="3496" w:right="-20"/>
        <w:jc w:val="left"/>
        <w:tabs>
          <w:tab w:pos="6440" w:val="left"/>
        </w:tabs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190.7957pt;margin-top:13.174114pt;width:267.667pt;height:267.667pt;mso-position-horizontal-relative:page;mso-position-vertical-relative:paragraph;z-index:-134" coordorigin="3816,263" coordsize="5353,5353">
            <v:group style="position:absolute;left:3826;top:273;width:2;height:5333" coordorigin="3826,273" coordsize="2,5333">
              <v:shape style="position:absolute;left:3826;top:273;width:2;height:5333" coordorigin="3826,273" coordsize="0,5333" path="m3826,273l3826,5607e" filled="f" stroked="t" strokeweight="1pt" strokecolor="#000000">
                <v:path arrowok="t"/>
              </v:shape>
            </v:group>
            <v:group style="position:absolute;left:3826;top:5607;width:5333;height:2" coordorigin="3826,5607" coordsize="5333,2">
              <v:shape style="position:absolute;left:3826;top:5607;width:5333;height:2" coordorigin="3826,5607" coordsize="5333,0" path="m3826,5607l9159,5607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1"/>
        </w:rPr>
        <w:t>P</w:t>
        <w:tab/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5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beds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61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spacing w:val="-6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ee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healthca</w:t>
      </w:r>
      <w:r>
        <w:rPr>
          <w:rFonts w:ascii="Myriad Pro" w:hAnsi="Myriad Pro" w:cs="Myriad Pro" w:eastAsia="Myriad Pro"/>
          <w:sz w:val="24"/>
          <w:szCs w:val="24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e</w:t>
      </w:r>
    </w:p>
    <w:p>
      <w:pPr>
        <w:spacing w:before="21" w:after="0" w:line="240" w:lineRule="auto"/>
        <w:ind w:left="1517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D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8" w:lineRule="exact"/>
        <w:ind w:right="-20"/>
        <w:jc w:val="left"/>
        <w:tabs>
          <w:tab w:pos="1300" w:val="left"/>
          <w:tab w:pos="2720" w:val="left"/>
        </w:tabs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204.634094pt;margin-top:-254.242706pt;width:193.929pt;height:246.974pt;mso-position-horizontal-relative:page;mso-position-vertical-relative:paragraph;z-index:-133" coordorigin="4093,-5085" coordsize="3879,4939">
            <v:group style="position:absolute;left:4103;top:-5075;width:3859;height:4919" coordorigin="4103,-5075" coordsize="3859,4919">
              <v:shape style="position:absolute;left:4103;top:-5075;width:3859;height:4919" coordorigin="4103,-5075" coordsize="3859,4919" path="m4103,-5075l7961,-155e" filled="f" stroked="t" strokeweight="1pt" strokecolor="#000000">
                <v:path arrowok="t"/>
              </v:shape>
            </v:group>
            <v:group style="position:absolute;left:6608;top:-5075;width:2;height:4919" coordorigin="6608,-5075" coordsize="2,4919">
              <v:shape style="position:absolute;left:6608;top:-5075;width:2;height:4919" coordorigin="6608,-5075" coordsize="0,4919" path="m6608,-5075l6608,-155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886597pt;margin-top:21.864594pt;width:68.6768pt;height:9.179pt;mso-position-horizontal-relative:page;mso-position-vertical-relative:paragraph;z-index:-132" coordorigin="6598,437" coordsize="1374,184">
            <v:group style="position:absolute;left:6629;top:529;width:1310;height:2" coordorigin="6629,529" coordsize="1310,2">
              <v:shape style="position:absolute;left:6629;top:529;width:1310;height:2" coordorigin="6629,529" coordsize="1310,0" path="m6629,529l7940,529e" filled="f" stroked="t" strokeweight="1pt" strokecolor="#000000">
                <v:path arrowok="t"/>
              </v:shape>
            </v:group>
            <v:group style="position:absolute;left:6608;top:447;width:102;height:164" coordorigin="6608,447" coordsize="102,164">
              <v:shape style="position:absolute;left:6608;top:447;width:102;height:164" coordorigin="6608,447" coordsize="102,164" path="m6696,447l6608,529,6696,611,6709,596,6637,529,6709,462,6696,447e" filled="t" fillcolor="#000000" stroked="f">
                <v:path arrowok="t"/>
                <v:fill/>
              </v:shape>
            </v:group>
            <v:group style="position:absolute;left:7860;top:447;width:102;height:164" coordorigin="7860,447" coordsize="102,164">
              <v:shape style="position:absolute;left:7860;top:447;width:102;height:164" coordorigin="7860,447" coordsize="102,164" path="m7873,447l7860,462,7932,529,7860,596,7873,611,7961,529,7873,44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D</w:t>
        <w:tab/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-1"/>
        </w:rPr>
        <w:t>Q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3498" w:space="3090"/>
            <w:col w:w="533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40" w:lineRule="auto"/>
        <w:ind w:left="6365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spacing w:val="-8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aiting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spacing w:val="0"/>
          <w:w w:val="100"/>
        </w:rPr>
        <w:t>list/queues</w:t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32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34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58pt;margin-top:9.736014pt;width:121.598543pt;height:62.394pt;mso-position-horizontal-relative:page;mso-position-vertical-relative:page;z-index:-13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bc.co.uk/news/health-22758373" TargetMode="External"/><Relationship Id="rId8" Type="http://schemas.openxmlformats.org/officeDocument/2006/relationships/hyperlink" Target="https://www.youtube.com/watch?v=3wWrBaQjkvo" TargetMode="External"/><Relationship Id="rId9" Type="http://schemas.openxmlformats.org/officeDocument/2006/relationships/hyperlink" Target="http://www.huffingtonpost.com/2014/04/17/health-care-costs_n_5160819.html" TargetMode="External"/><Relationship Id="rId10" Type="http://schemas.openxmlformats.org/officeDocument/2006/relationships/hyperlink" Target="http://www.huffingtonpost.com/2014/04/17/health-care-costs_n_5160819.html" TargetMode="External"/><Relationship Id="rId11" Type="http://schemas.openxmlformats.org/officeDocument/2006/relationships/hyperlink" Target="https://www.youtube.com/watch?v=Ro56CoQ7GoY" TargetMode="External"/><Relationship Id="rId12" Type="http://schemas.openxmlformats.org/officeDocument/2006/relationships/hyperlink" Target="http://www.bbc.co.uk/news/uk-scotland-25151839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2015-06-04T12:58:13Z</dcterms:created>
  <dcterms:modified xsi:type="dcterms:W3CDTF">2015-06-04T12:58:13Z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